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79C" w:rsidRDefault="00A1679C">
      <w:pPr>
        <w:spacing w:before="0" w:line="240" w:lineRule="auto"/>
        <w:ind w:left="360"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679C" w:rsidRDefault="00CC6042">
      <w:pPr>
        <w:spacing w:before="0" w:line="240" w:lineRule="auto"/>
        <w:ind w:left="360"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Lugar y Fecha</w:t>
      </w:r>
    </w:p>
    <w:p w:rsidR="00A1679C" w:rsidRDefault="00CC6042">
      <w:pPr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Señores Miembros de 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Infraestructura de Datos Espaciales de la Provincia de Tucumán.</w:t>
      </w:r>
    </w:p>
    <w:p w:rsidR="00A1679C" w:rsidRDefault="00A1679C">
      <w:pPr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ind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679C" w:rsidRDefault="00CC6042">
      <w:pPr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ind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Carta Compromiso de Adhesión a IDET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1679C" w:rsidRDefault="00CC6042">
      <w:pPr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mi carácter de Ministro/Secretario/Director/Rector d</w:t>
      </w:r>
      <w:r w:rsidR="00255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“Nombre de la Organización”,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adelante “Siglas o Nombre abreviado de la Organización”, me dirijo a ustedes para manifestar el propósito de integrar a este Organismo, a los esfuerzos de desarrollo de la IDET.</w:t>
      </w:r>
    </w:p>
    <w:p w:rsidR="00A1679C" w:rsidRDefault="00CC6042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spacing w:before="360" w:after="3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Considerando:</w:t>
      </w:r>
    </w:p>
    <w:p w:rsidR="00A1679C" w:rsidRDefault="00CC6042">
      <w:pPr>
        <w:pBdr>
          <w:top w:val="nil"/>
          <w:left w:val="nil"/>
          <w:bottom w:val="nil"/>
          <w:right w:val="nil"/>
          <w:between w:val="nil"/>
        </w:pBdr>
        <w:tabs>
          <w:tab w:val="left" w:pos="927"/>
          <w:tab w:val="left" w:pos="1527"/>
          <w:tab w:val="left" w:pos="1573"/>
        </w:tabs>
        <w:spacing w:before="360" w:after="360" w:line="240" w:lineRule="auto"/>
        <w:ind w:firstLine="1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 las Infraestructuras de Datos Espaciales (IDE) son un conjunto de herramientas de gestión, información y comunicación que permiten mejorar el acceso, difusión, uso e interoperabilidad de la información e</w:t>
      </w:r>
      <w:r w:rsidR="00255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spacial georreferenciada, para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eficiencia de las decisiones en los actos de gobierno, planes de desarrollo, ordenamiento territorial, prevención y atención de desastres, manejo de recursos naturales, defensa y seguridad, entre otros. </w:t>
      </w:r>
    </w:p>
    <w:p w:rsidR="00A1679C" w:rsidRDefault="00CC6042">
      <w:pPr>
        <w:pBdr>
          <w:top w:val="nil"/>
          <w:left w:val="nil"/>
          <w:bottom w:val="nil"/>
          <w:right w:val="nil"/>
          <w:between w:val="nil"/>
        </w:pBdr>
        <w:tabs>
          <w:tab w:val="left" w:pos="1509"/>
        </w:tabs>
        <w:spacing w:before="360" w:after="360" w:line="240" w:lineRule="auto"/>
        <w:ind w:firstLine="1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en el ámbito nacional se ha constituido la Infraestructura de Datos Espaciales de la República Argentina (IDERA), la que fue consolidándose en el año 2007 a través de  jornadas de trabajo anuales celebradas en distintas ciudades del país, siendo en la V Jornada IDERA del  5 y 6 de agosto de 2010 cuando se firmó el Acta Acuerdo que permitió  la conformación de una plataforma de trabajo integrada por miembros de los ámbitos nacional, provincial y local, de un Equipo de Coordinación, de los grupos de trabajo y estableció que la Coordinación Ejecutiva está a cargo del Instituto Geográfico Nacional. </w:t>
      </w:r>
      <w:r w:rsidR="00255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mismo</w:t>
      </w:r>
      <w:r w:rsidR="002558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los firmantes acordaron incorporar a esta comunidad de información a todos los actores que lo soliciten conforme sus competencias. </w:t>
      </w:r>
    </w:p>
    <w:p w:rsidR="00A1679C" w:rsidRDefault="00CC6042">
      <w:pPr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ind w:firstLine="1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 la Provincia de Tucumán, en el año 2010 firmó el Acuerdo Federal para la Gestión Pública, lo cual posibilit</w:t>
      </w:r>
      <w:r w:rsidR="00255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 que en el año 2011 se creara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Comisión de Gobierno Electrónico en el seno del Poder Ejecutivo y por iniciativa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consensuada  de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los Ministros; siendo que entre la acciones desarrolladas por dicha Comisión, se fundó en el año 2012 la Comisión de Infraestructura de Datos Espaciales de la provincia de Tucumán: Comisión  IDET.</w:t>
      </w:r>
    </w:p>
    <w:p w:rsidR="00A1679C" w:rsidRDefault="00A1679C">
      <w:pPr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ind w:firstLine="1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679C" w:rsidRDefault="00A1679C">
      <w:pPr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ind w:firstLine="1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0CFA" w:rsidRDefault="007D0CFA">
      <w:pPr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ind w:firstLine="1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679C" w:rsidRDefault="00CC6042">
      <w:pPr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ind w:firstLine="1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Que en el Decreto N°1/16 que reglamenta a la Ley Provincial N° 8.839/15 de Planificación de la Gestión Pública, se establece el fortalecimiento de la IDET.</w:t>
      </w:r>
    </w:p>
    <w:p w:rsidR="00A1679C" w:rsidRDefault="00CC6042">
      <w:pPr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ind w:firstLine="1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 el Decreto Acuerdo N°</w:t>
      </w:r>
      <w:r w:rsidR="00255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1/23 establece que la Secretarí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de Estado de </w:t>
      </w:r>
      <w:r w:rsidR="00F50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Gestión Pública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Planeamiento representa y articula la integración de la IDE.</w:t>
      </w:r>
    </w:p>
    <w:p w:rsidR="00A1679C" w:rsidRDefault="00CC6042">
      <w:pPr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ind w:firstLine="1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el Decreto Acuerdo N° 50/24 que complementa a la Ley de Modernización del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Estado  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° 9256/20, establece que las  acciones del Plan de Modernización se enmarcarán entre otros ejes estratégicos en:  la apertura de datos y transparencia; siendo este un fundamento esencial para el propósito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acc</w:t>
      </w:r>
      <w:r w:rsidR="002558E0">
        <w:rPr>
          <w:rFonts w:ascii="Times New Roman" w:eastAsia="Times New Roman" w:hAnsi="Times New Roman" w:cs="Times New Roman"/>
          <w:color w:val="000000"/>
          <w:sz w:val="24"/>
          <w:szCs w:val="24"/>
        </w:rPr>
        <w:t>eso a la información de las IDE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679C" w:rsidRDefault="00CC6042">
      <w:pPr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ind w:firstLine="1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la Comisión IDET está estructurada en los siguientes grupos de trabajo: </w:t>
      </w:r>
      <w:r w:rsidR="00255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Marco Institucional, Difusión,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Capacitación, Datos Básicos y Fundamentales, Metadatos y Catálogo de Metadatos, y Servicios y Tecnología, quienes en su labor se encuentran realizando proyectos concretos de gestión de datos geo</w:t>
      </w:r>
      <w:r w:rsidR="002558E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referenciados y han desarrollado y publicado la página oficial de </w:t>
      </w:r>
      <w:r w:rsidR="002558E0">
        <w:rPr>
          <w:rFonts w:ascii="Times New Roman" w:eastAsia="Times New Roman" w:hAnsi="Times New Roman" w:cs="Times New Roman"/>
          <w:color w:val="000000"/>
          <w:sz w:val="24"/>
          <w:szCs w:val="24"/>
        </w:rPr>
        <w:t>la IDET: http://idet.tucuman.gov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.ar/</w:t>
      </w:r>
    </w:p>
    <w:p w:rsidR="00A1679C" w:rsidRDefault="00CC6042">
      <w:pPr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ind w:firstLine="1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 la IDET promueve la conformación de NODOS IDE. Que ser NODO, es ser actor de una Infraestructura de Datos Espaciales.</w:t>
      </w:r>
    </w:p>
    <w:p w:rsidR="00A1679C" w:rsidRDefault="00CC6042">
      <w:pPr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ind w:firstLine="1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son NODOS de la IDET no solo quienes tienen la responsabilidad de producir información geográfica sino también quienes la utilizan para la toma de decisiones a distintos niveles, conformándose estos, en posibles receptores de capacitaciones, apoyo técnico, asesoramiento e </w:t>
      </w:r>
      <w:r w:rsidR="002558E0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información contenida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el marco de IDET. </w:t>
      </w:r>
    </w:p>
    <w:p w:rsidR="00A1679C" w:rsidRDefault="00CC6042">
      <w:pPr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ind w:firstLine="1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 los NODOS IDET asum</w:t>
      </w:r>
      <w:r w:rsidR="002558E0">
        <w:rPr>
          <w:rFonts w:ascii="Times New Roman" w:eastAsia="Times New Roman" w:hAnsi="Times New Roman" w:cs="Times New Roman"/>
          <w:color w:val="000000"/>
          <w:sz w:val="24"/>
          <w:szCs w:val="24"/>
        </w:rPr>
        <w:t>en el compromiso de colaborar,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acuerdo a la disponibilidad de recursos humanos y tecnológicos, en la elaboración, almacenamiento, sistematización y</w:t>
      </w:r>
      <w:r w:rsidR="00255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publicación de información </w:t>
      </w:r>
      <w:proofErr w:type="gramStart"/>
      <w:r w:rsidR="002558E0">
        <w:rPr>
          <w:rFonts w:ascii="Times New Roman" w:eastAsia="Times New Roman" w:hAnsi="Times New Roman" w:cs="Times New Roman"/>
          <w:color w:val="000000"/>
          <w:sz w:val="24"/>
          <w:szCs w:val="24"/>
        </w:rPr>
        <w:t>georreferenciada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 todo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ello encaminado a favorecer la retroalimentación constante y progresiva que tiene como meta la producción, publicación y consumo de información geoespacial.</w:t>
      </w:r>
    </w:p>
    <w:p w:rsidR="00A1679C" w:rsidRDefault="00CC6042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spacing w:before="360" w:after="360" w:line="240" w:lineRule="auto"/>
        <w:ind w:firstLine="1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la IDET, se encuentra adherida a la IDERA y trabaja activamente para el desarrollo de la misma. </w:t>
      </w:r>
    </w:p>
    <w:p w:rsidR="00A1679C" w:rsidRDefault="00CC6042">
      <w:pPr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ind w:firstLine="1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la Provincia, ha desarrollado las condiciones favorables y elementos básicos necesarios para la conformación de una Infraestructura de Datos Espaciales, que beneficie el acceso e intercambio de información cartográfica y estadística producida en el ámbito de la provincia para apoyar el desarrollo económico y social de la misma. </w:t>
      </w:r>
    </w:p>
    <w:p w:rsidR="00A1679C" w:rsidRDefault="00CC6042">
      <w:pPr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 CONSIGUIENTE:</w:t>
      </w:r>
    </w:p>
    <w:p w:rsidR="00A1679C" w:rsidRDefault="002558E0">
      <w:pPr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El/La</w:t>
      </w:r>
      <w:r w:rsidR="00CC6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“Nombre de la Organización” adhiere a la INFRAESTRUCTURA DE DATOS ESPACIALES DE LA PROVINCIA DE TUCUMÁN: </w:t>
      </w:r>
    </w:p>
    <w:p w:rsidR="00A1679C" w:rsidRDefault="00CC60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Manifiesta su acuerdo en la necesidad de que la provincia de Tucumán cuente con una Infraestructura de Datos Espaciales de carácter regional, la cual se alinee a la IDERA y además procure crear formas de interoperabilidad que satisfaga a los actores locales. </w:t>
      </w:r>
    </w:p>
    <w:p w:rsidR="00A1679C" w:rsidRDefault="00CC60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compromete a propiciar la participación de sus miembros en los diferentes equipos de trabajos técnicos y gestionar para el desarrollo de un nodo IDET en este organismo.</w:t>
      </w:r>
    </w:p>
    <w:p w:rsidR="00A1679C" w:rsidRDefault="00F25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compromete a conocer y </w:t>
      </w:r>
      <w:r w:rsidR="00CC6042">
        <w:rPr>
          <w:rFonts w:ascii="Times New Roman" w:eastAsia="Times New Roman" w:hAnsi="Times New Roman" w:cs="Times New Roman"/>
          <w:color w:val="000000"/>
          <w:sz w:val="24"/>
          <w:szCs w:val="24"/>
        </w:rPr>
        <w:t>aplicar los estándares y normas generado por la IDET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C6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la producción y publicación de información geoespacial.</w:t>
      </w:r>
    </w:p>
    <w:p w:rsidR="00A1679C" w:rsidRDefault="00F25EA9" w:rsidP="00F25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360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presente carta de adhesión, </w:t>
      </w:r>
      <w:r w:rsidR="00CC6042">
        <w:rPr>
          <w:rFonts w:ascii="Times New Roman" w:eastAsia="Times New Roman" w:hAnsi="Times New Roman" w:cs="Times New Roman"/>
          <w:color w:val="000000"/>
          <w:sz w:val="24"/>
          <w:szCs w:val="24"/>
        </w:rPr>
        <w:t>no constituye ninguna obligación jurídica, ni fina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nciera para el </w:t>
      </w:r>
      <w:r w:rsidR="00CC6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organismo adherente, ni para la IDET.                                          </w:t>
      </w:r>
    </w:p>
    <w:p w:rsidR="00A1679C" w:rsidRDefault="00CC6042">
      <w:pPr>
        <w:spacing w:before="0" w:line="240" w:lineRule="auto"/>
        <w:ind w:left="3196" w:firstLine="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Lugar y Fecha</w:t>
      </w:r>
    </w:p>
    <w:p w:rsidR="00A1679C" w:rsidRDefault="00CC6042">
      <w:pPr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Nombre y Apellido</w:t>
      </w:r>
    </w:p>
    <w:p w:rsidR="00A1679C" w:rsidRDefault="00CC6042">
      <w:pPr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ind w:left="283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Cargo</w:t>
      </w:r>
    </w:p>
    <w:p w:rsidR="00A1679C" w:rsidRDefault="00CC6042">
      <w:pPr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Información sobre la organización adherente:</w:t>
      </w:r>
    </w:p>
    <w:tbl>
      <w:tblPr>
        <w:tblStyle w:val="a"/>
        <w:tblW w:w="983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888"/>
        <w:gridCol w:w="5950"/>
      </w:tblGrid>
      <w:tr w:rsidR="00A1679C">
        <w:trPr>
          <w:trHeight w:val="447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79C" w:rsidRDefault="00CC6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36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Nombre de la Organización: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9C" w:rsidRDefault="00A16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36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79C">
        <w:trPr>
          <w:trHeight w:val="1607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79C" w:rsidRDefault="00CC6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36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Misiones, funciones u objetivos (breve descripción):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9C" w:rsidRDefault="00A16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36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79C">
        <w:trPr>
          <w:trHeight w:val="538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79C" w:rsidRDefault="00CC6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36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 Técnica de Contacto,</w:t>
            </w:r>
          </w:p>
          <w:p w:rsidR="00A1679C" w:rsidRDefault="00CC6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36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Nombre y cargo: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9C" w:rsidRDefault="00A16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36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79C">
        <w:trPr>
          <w:trHeight w:val="519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79C" w:rsidRDefault="00CC6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36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Teléfonos: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9C" w:rsidRDefault="00A16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36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79C">
        <w:trPr>
          <w:trHeight w:val="55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79C" w:rsidRDefault="00CC6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36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Correo Electrónico: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9C" w:rsidRDefault="00A16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36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79C">
        <w:trPr>
          <w:trHeight w:val="1405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79C" w:rsidRDefault="00CC6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36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Toda otra información que pueda resultar de interés: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9C" w:rsidRDefault="00A16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36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679C" w:rsidRDefault="00A1679C" w:rsidP="007D0CFA">
      <w:pPr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ind w:firstLine="720"/>
        <w:rPr>
          <w:color w:val="000000"/>
        </w:rPr>
      </w:pPr>
    </w:p>
    <w:sectPr w:rsidR="00A1679C" w:rsidSect="007D0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7" w:bottom="1135" w:left="1418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F98" w:rsidRDefault="00A03F98">
      <w:pPr>
        <w:spacing w:before="0" w:line="240" w:lineRule="auto"/>
      </w:pPr>
      <w:r>
        <w:separator/>
      </w:r>
    </w:p>
  </w:endnote>
  <w:endnote w:type="continuationSeparator" w:id="0">
    <w:p w:rsidR="00A03F98" w:rsidRDefault="00A03F9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glischeSc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CFA" w:rsidRDefault="007D0C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CFA" w:rsidRDefault="007D0C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CFA" w:rsidRDefault="007D0C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F98" w:rsidRDefault="00A03F98">
      <w:pPr>
        <w:spacing w:before="0" w:line="240" w:lineRule="auto"/>
      </w:pPr>
      <w:r>
        <w:separator/>
      </w:r>
    </w:p>
  </w:footnote>
  <w:footnote w:type="continuationSeparator" w:id="0">
    <w:p w:rsidR="00A03F98" w:rsidRDefault="00A03F9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CFA" w:rsidRDefault="007D0C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79C" w:rsidRDefault="00A1679C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  <w:ind w:firstLine="0"/>
    </w:pPr>
  </w:p>
  <w:tbl>
    <w:tblPr>
      <w:tblStyle w:val="a0"/>
      <w:tblW w:w="2868" w:type="dxa"/>
      <w:tblInd w:w="-108" w:type="dxa"/>
      <w:tblLayout w:type="fixed"/>
      <w:tblLook w:val="0000" w:firstRow="0" w:lastRow="0" w:firstColumn="0" w:lastColumn="0" w:noHBand="0" w:noVBand="0"/>
    </w:tblPr>
    <w:tblGrid>
      <w:gridCol w:w="2868"/>
    </w:tblGrid>
    <w:tr w:rsidR="00A1679C">
      <w:tc>
        <w:tcPr>
          <w:tcW w:w="2868" w:type="dxa"/>
        </w:tcPr>
        <w:p w:rsidR="00A1679C" w:rsidRDefault="00A1679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ind w:firstLine="0"/>
            <w:jc w:val="right"/>
            <w:rPr>
              <w:rFonts w:ascii="EnglischeSchT" w:eastAsia="EnglischeSchT" w:hAnsi="EnglischeSchT" w:cs="EnglischeSchT"/>
              <w:color w:val="000000"/>
              <w:sz w:val="40"/>
              <w:szCs w:val="40"/>
            </w:rPr>
          </w:pPr>
        </w:p>
      </w:tc>
    </w:tr>
  </w:tbl>
  <w:p w:rsidR="00A1679C" w:rsidRDefault="00A1679C">
    <w:pPr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CFA" w:rsidRDefault="007D0C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974"/>
    <w:multiLevelType w:val="multilevel"/>
    <w:tmpl w:val="C07016C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9C"/>
    <w:rsid w:val="002558E0"/>
    <w:rsid w:val="007D0CFA"/>
    <w:rsid w:val="00A03F98"/>
    <w:rsid w:val="00A1679C"/>
    <w:rsid w:val="00CC6042"/>
    <w:rsid w:val="00F25EA9"/>
    <w:rsid w:val="00F5048F"/>
    <w:rsid w:val="00F9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A401"/>
  <w15:docId w15:val="{12444B73-8E15-4260-8335-B458B86B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before="120" w:line="360" w:lineRule="auto"/>
        <w:ind w:firstLine="226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D0CF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CFA"/>
  </w:style>
  <w:style w:type="paragraph" w:styleId="Piedepgina">
    <w:name w:val="footer"/>
    <w:basedOn w:val="Normal"/>
    <w:link w:val="PiedepginaCar"/>
    <w:uiPriority w:val="99"/>
    <w:unhideWhenUsed/>
    <w:rsid w:val="007D0CF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863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apudr</dc:creator>
  <cp:lastModifiedBy>apudr</cp:lastModifiedBy>
  <cp:revision>3</cp:revision>
  <dcterms:created xsi:type="dcterms:W3CDTF">2025-06-03T11:53:00Z</dcterms:created>
  <dcterms:modified xsi:type="dcterms:W3CDTF">2025-06-03T12:06:00Z</dcterms:modified>
</cp:coreProperties>
</file>